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BA910">
      <w:pPr>
        <w:pStyle w:val="9"/>
        <w:spacing w:line="600" w:lineRule="exact"/>
        <w:jc w:val="both"/>
        <w:rPr>
          <w:rFonts w:hint="eastAsia" w:ascii="Times New Roman" w:hAnsi="Times New Roman" w:eastAsia="黑体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color w:val="auto"/>
          <w:sz w:val="32"/>
        </w:rPr>
        <w:t>附件</w:t>
      </w:r>
      <w:r>
        <w:rPr>
          <w:rFonts w:hint="eastAsia" w:ascii="Times New Roman" w:hAnsi="Times New Roman" w:eastAsia="黑体"/>
          <w:b w:val="0"/>
          <w:bCs w:val="0"/>
          <w:color w:val="auto"/>
          <w:sz w:val="32"/>
          <w:lang w:val="en-US" w:eastAsia="zh-CN"/>
        </w:rPr>
        <w:t>1</w:t>
      </w:r>
    </w:p>
    <w:p w14:paraId="3F9AF461">
      <w:pPr>
        <w:pStyle w:val="9"/>
        <w:spacing w:line="600" w:lineRule="exact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</w:p>
    <w:p w14:paraId="66080AC7">
      <w:pPr>
        <w:pStyle w:val="9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湖南省科技政策宣贯大赛细则</w:t>
      </w:r>
    </w:p>
    <w:p w14:paraId="065D8C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3" w:firstLineChars="200"/>
        <w:textAlignment w:val="baseline"/>
        <w:rPr>
          <w:rFonts w:hint="eastAsia" w:ascii="Times New Roman" w:hAnsi="Times New Roman" w:eastAsia="黑体" w:cs="黑体"/>
          <w:b/>
          <w:bCs/>
          <w:snapToGrid w:val="0"/>
          <w:color w:val="auto"/>
          <w:spacing w:val="5"/>
          <w:kern w:val="0"/>
          <w:sz w:val="32"/>
          <w:lang w:val="en-US" w:eastAsia="zh-CN"/>
        </w:rPr>
      </w:pPr>
    </w:p>
    <w:p w14:paraId="747D8C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0" w:firstLineChars="200"/>
        <w:textAlignment w:val="baseline"/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5"/>
          <w:kern w:val="0"/>
          <w:sz w:val="32"/>
          <w:lang w:eastAsia="en-US"/>
        </w:rPr>
      </w:pPr>
      <w:r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5"/>
          <w:kern w:val="0"/>
          <w:sz w:val="32"/>
          <w:lang w:val="en-US" w:eastAsia="zh-CN"/>
        </w:rPr>
        <w:t>一</w:t>
      </w:r>
      <w:r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5"/>
          <w:kern w:val="0"/>
          <w:sz w:val="32"/>
          <w:lang w:eastAsia="en-US"/>
        </w:rPr>
        <w:t>、宣贯政策清单</w:t>
      </w:r>
    </w:p>
    <w:p w14:paraId="76581C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default" w:ascii="Times New Roman" w:hAnsi="Times New Roman" w:eastAsia="楷体_GB2312" w:cs="楷体_GB2312"/>
          <w:b/>
          <w:bCs/>
          <w:snapToGrid/>
          <w:color w:val="auto"/>
          <w:spacing w:val="0"/>
          <w:kern w:val="2"/>
          <w:sz w:val="32"/>
          <w:highlight w:val="none"/>
          <w:lang w:eastAsia="zh-CN"/>
        </w:rPr>
      </w:pPr>
      <w:r>
        <w:rPr>
          <w:rFonts w:hint="default" w:ascii="Times New Roman" w:hAnsi="Times New Roman" w:eastAsia="楷体_GB2312" w:cs="楷体_GB2312"/>
          <w:b/>
          <w:bCs/>
          <w:snapToGrid/>
          <w:color w:val="auto"/>
          <w:spacing w:val="0"/>
          <w:kern w:val="2"/>
          <w:sz w:val="32"/>
          <w:lang w:eastAsia="zh-CN"/>
        </w:rPr>
        <w:t>赛道1：科技成果转化</w:t>
      </w:r>
    </w:p>
    <w:p w14:paraId="25DFEC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/>
          <w:color w:val="auto"/>
          <w:spacing w:val="0"/>
          <w:kern w:val="2"/>
          <w:sz w:val="32"/>
          <w:highlight w:val="none"/>
          <w:lang w:eastAsia="en-US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/>
          <w:color w:val="auto"/>
          <w:spacing w:val="0"/>
          <w:kern w:val="2"/>
          <w:sz w:val="32"/>
          <w:highlight w:val="none"/>
          <w:lang w:eastAsia="en-US"/>
        </w:rPr>
        <w:t>《促进科技成果转化法》、《湖南省实施〈中华人民共和国促进科技成果转化法〉办法》、《湖南省加快高等院校科技成果转化的若干措施》（湘政办发〔2024〕21号）等，以及《科学技术进步法》《湖南省科学技术进步条例》中有关条文。</w:t>
      </w:r>
    </w:p>
    <w:p w14:paraId="525CD18B">
      <w:pPr>
        <w:pStyle w:val="6"/>
        <w:spacing w:after="0" w:line="600" w:lineRule="exact"/>
        <w:ind w:left="0" w:leftChars="0" w:firstLine="643"/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楷体_GB2312" w:cs="楷体_GB2312"/>
          <w:b/>
          <w:bCs/>
          <w:color w:val="auto"/>
          <w:sz w:val="32"/>
          <w:szCs w:val="32"/>
        </w:rPr>
        <w:t>赛道</w:t>
      </w:r>
      <w:r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楷体_GB2312" w:cs="楷体_GB2312"/>
          <w:b/>
          <w:bCs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lang w:eastAsia="zh-CN"/>
        </w:rPr>
        <w:t>创新创业</w:t>
      </w:r>
    </w:p>
    <w:p w14:paraId="0A07F1BA">
      <w:pPr>
        <w:pStyle w:val="6"/>
        <w:spacing w:after="0" w:line="600" w:lineRule="exact"/>
        <w:ind w:left="0" w:leftChars="0" w:firstLine="643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《湖南省大力支持大学生创业若干政策措施》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湘政办发〔2024〕42号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）、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《湖南省大学生创业导师管理办法》（湘科发〔2025〕8号）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、《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湖南省大学生创业指导工作室建设指引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》（湘科发〔2025〕63号）等。</w:t>
      </w:r>
    </w:p>
    <w:p w14:paraId="5D2019CE">
      <w:pPr>
        <w:pStyle w:val="6"/>
        <w:spacing w:after="0" w:line="600" w:lineRule="exact"/>
        <w:ind w:left="0" w:leftChars="0" w:firstLine="643"/>
        <w:rPr>
          <w:rFonts w:hint="eastAsia" w:ascii="Times New Roman" w:hAnsi="Times New Roman" w:eastAsia="楷体_GB2312" w:cs="楷体_GB2312"/>
          <w:b/>
          <w:bCs/>
          <w:color w:val="auto"/>
          <w:sz w:val="32"/>
          <w:lang w:eastAsia="zh-CN"/>
        </w:rPr>
      </w:pPr>
      <w:r>
        <w:rPr>
          <w:rFonts w:ascii="Times New Roman" w:hAnsi="Times New Roman" w:eastAsia="楷体_GB2312" w:cs="楷体_GB2312"/>
          <w:b/>
          <w:bCs/>
          <w:color w:val="auto"/>
          <w:sz w:val="32"/>
          <w:szCs w:val="32"/>
        </w:rPr>
        <w:t>赛道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楷体_GB2312" w:cs="楷体_GB2312"/>
          <w:b/>
          <w:bCs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eastAsia="zh-CN"/>
        </w:rPr>
        <w:t>科技惠企</w:t>
      </w:r>
    </w:p>
    <w:p w14:paraId="407D1AFC">
      <w:pPr>
        <w:pStyle w:val="6"/>
        <w:spacing w:after="0" w:line="600" w:lineRule="exact"/>
        <w:ind w:left="0" w:leftChars="0" w:firstLine="643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《湖南省科技型企业知识价值贷款风险补偿实施办法》（湘科发〔2025〕72号）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《湖南省促进金融支持科技型中小企业创新发展若干规定》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《湖南省财政支持企业科技创新若干政策措施》（湘政办发〔2022〕53号）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、《湖南省企业研发财政奖补办法》（湘财教〔2023〕12号）、《关于进一步明确企业研发财政奖补最低补助额的通知》（湘财教〔2024〕44号）、《湖南省工程技术研究中心管理办法》（湘科发〔2022〕172 号）等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。</w:t>
      </w:r>
    </w:p>
    <w:p w14:paraId="141FB830">
      <w:pPr>
        <w:pStyle w:val="6"/>
        <w:spacing w:after="0" w:line="600" w:lineRule="exact"/>
        <w:ind w:left="0" w:leftChars="0" w:firstLine="643"/>
        <w:rPr>
          <w:rFonts w:ascii="Times New Roman" w:hAnsi="Times New Roman" w:eastAsia="楷体_GB2312" w:cs="楷体_GB2312"/>
          <w:b/>
          <w:bCs/>
          <w:color w:val="auto"/>
          <w:sz w:val="32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</w:rPr>
        <w:t>赛道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</w:rPr>
        <w:t>：科研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eastAsia="zh-CN"/>
        </w:rPr>
        <w:t>经费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</w:rPr>
        <w:t>管理</w:t>
      </w:r>
    </w:p>
    <w:p w14:paraId="123C259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湖南省创新型省份建设专项资金管理办法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（湘财教〔2023〕3号）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《关于进一步完善省级财政科研经费管理的实施意见》（湘政办发〔2022〕42号），以及《中华人民共和国科学技术进步法》《湖南省科学技术进步条例》中有关条文。</w:t>
      </w:r>
    </w:p>
    <w:p w14:paraId="621F83FB">
      <w:pPr>
        <w:pStyle w:val="6"/>
        <w:spacing w:after="0" w:line="600" w:lineRule="exact"/>
        <w:ind w:left="0" w:leftChars="0" w:firstLine="643"/>
        <w:rPr>
          <w:rFonts w:ascii="Times New Roman" w:hAnsi="Times New Roman" w:eastAsia="楷体_GB2312" w:cs="楷体_GB2312"/>
          <w:b/>
          <w:bCs/>
          <w:color w:val="auto"/>
          <w:sz w:val="32"/>
        </w:rPr>
      </w:pPr>
      <w:r>
        <w:rPr>
          <w:rFonts w:ascii="Times New Roman" w:hAnsi="Times New Roman" w:eastAsia="楷体_GB2312" w:cs="楷体_GB2312"/>
          <w:b/>
          <w:bCs/>
          <w:color w:val="auto"/>
          <w:sz w:val="32"/>
          <w:szCs w:val="32"/>
        </w:rPr>
        <w:t>赛道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_GB2312" w:cs="楷体_GB2312"/>
          <w:b/>
          <w:bCs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eastAsia="zh-CN"/>
        </w:rPr>
        <w:t>科研</w:t>
      </w:r>
      <w:r>
        <w:rPr>
          <w:rFonts w:ascii="Times New Roman" w:hAnsi="Times New Roman" w:eastAsia="楷体_GB2312" w:cs="楷体_GB2312"/>
          <w:b/>
          <w:bCs/>
          <w:color w:val="auto"/>
          <w:sz w:val="32"/>
          <w:szCs w:val="32"/>
        </w:rPr>
        <w:t>机构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楷体_GB2312" w:cs="楷体_GB2312"/>
          <w:b/>
          <w:bCs/>
          <w:color w:val="auto"/>
          <w:sz w:val="32"/>
          <w:szCs w:val="32"/>
        </w:rPr>
        <w:t>平台、基地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eastAsia="zh-CN"/>
        </w:rPr>
        <w:t>建设</w:t>
      </w:r>
    </w:p>
    <w:p w14:paraId="45F28BB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《湖南省基础学科研究中心建设及运行管理办法》（湘科发〔2024〕131号）、《湖南省科技资源共享服务平台管理办法》（湘科发〔2024〕130号）、《湖南省重大科研基础设施和大型科研仪器开放共享管理办法》的通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（湘科发〔2023〕5 号）《湖南省自然科学研究系列职称评价办法》《湖南省实验技术系列（科研机构）职称评价办法》（湘人社规〔2025〕12号）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《湖南省重点实验室建设与运行管理办法》（湘科发〔2022〕173号）等。</w:t>
      </w:r>
    </w:p>
    <w:p w14:paraId="30802D1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赛道6：科研诚信、科技伦理，弘扬科学精神和科学家精神</w:t>
      </w:r>
    </w:p>
    <w:p w14:paraId="0E00AE1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《湖南省科技计划项目科研诚信管理办法》（湘科发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〔202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191号）、《湖南省科技计划项目科技伦理管理工作规范》（湘科发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〔202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113号），以及《关于新时代进一步加强科学技术普及工作的意见》</w:t>
      </w:r>
      <w:r>
        <w:rPr>
          <w:rFonts w:hint="eastAsia" w:ascii="Times New Roman" w:hAnsi="Times New Roman" w:eastAsia="仿宋_GB2312" w:cs="仿宋_GB2312"/>
          <w:b w:val="0"/>
          <w:bCs w:val="0"/>
          <w:snapToGrid/>
          <w:color w:val="auto"/>
          <w:spacing w:val="0"/>
          <w:kern w:val="2"/>
          <w:sz w:val="32"/>
          <w:highlight w:val="none"/>
          <w:lang w:eastAsia="en-US"/>
        </w:rPr>
        <w:t>《科学技术进步法》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《科学技术普及法》、《全民科学素质行动规划纲要（2021—2035年）》，</w:t>
      </w:r>
      <w:r>
        <w:rPr>
          <w:rFonts w:hint="eastAsia" w:ascii="Times New Roman" w:hAnsi="Times New Roman" w:eastAsia="仿宋_GB2312" w:cs="仿宋_GB2312"/>
          <w:b w:val="0"/>
          <w:bCs w:val="0"/>
          <w:snapToGrid/>
          <w:color w:val="auto"/>
          <w:spacing w:val="0"/>
          <w:kern w:val="2"/>
          <w:sz w:val="32"/>
          <w:highlight w:val="none"/>
          <w:lang w:eastAsia="en-US"/>
        </w:rPr>
        <w:t>《湖南省科学技术进步条例》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《湖南省细胞和基因产业促进条例》《湖南省实验动物管理条例》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中有关条文。</w:t>
      </w:r>
    </w:p>
    <w:p w14:paraId="46579F24">
      <w:pPr>
        <w:pStyle w:val="6"/>
        <w:spacing w:after="0" w:line="600" w:lineRule="exact"/>
        <w:ind w:left="0" w:leftChars="0" w:firstLine="643"/>
        <w:rPr>
          <w:rFonts w:ascii="Times New Roman" w:hAnsi="Times New Roman" w:eastAsia="楷体_GB2312" w:cs="楷体_GB2312"/>
          <w:b/>
          <w:bCs/>
          <w:color w:val="auto"/>
          <w:sz w:val="32"/>
        </w:rPr>
      </w:pPr>
      <w:r>
        <w:rPr>
          <w:rFonts w:ascii="Times New Roman" w:hAnsi="Times New Roman" w:eastAsia="楷体_GB2312" w:cs="楷体_GB2312"/>
          <w:b/>
          <w:bCs/>
          <w:color w:val="auto"/>
          <w:sz w:val="32"/>
          <w:szCs w:val="32"/>
        </w:rPr>
        <w:t>赛道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楷体_GB2312" w:cs="楷体_GB2312"/>
          <w:b/>
          <w:bCs/>
          <w:color w:val="auto"/>
          <w:sz w:val="32"/>
          <w:szCs w:val="32"/>
        </w:rPr>
        <w:t>：区域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</w:rPr>
        <w:t>科技</w:t>
      </w:r>
      <w:r>
        <w:rPr>
          <w:rFonts w:ascii="Times New Roman" w:hAnsi="Times New Roman" w:eastAsia="楷体_GB2312" w:cs="楷体_GB2312"/>
          <w:b/>
          <w:bCs/>
          <w:color w:val="auto"/>
          <w:sz w:val="32"/>
          <w:szCs w:val="32"/>
        </w:rPr>
        <w:t>创新</w:t>
      </w:r>
    </w:p>
    <w:p w14:paraId="492009A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《湖南省长株潭国家自主创新示范区条例》《长株潭国家自主创新示范区提质升级行动计划》（湘政办发〔2024〕3号）、《关于支持常德市合成生物制造产业高质量发展的若干措施》（湘政办发〔2025〕3号）、《关于支持长沙建设全球研发中心城市的若干措施》（湘政办发〔2024〕47号）、《关于支持湘江科学城建设的若干措施》（湘政办发〔2024〕43号），以及各市州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省级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以上高新区，各高校、院所、大型企事业单位对标中央和湖南省科技政策法规出台的具体措施。</w:t>
      </w:r>
    </w:p>
    <w:p w14:paraId="051DF7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0" w:firstLineChars="200"/>
        <w:textAlignment w:val="baseline"/>
        <w:rPr>
          <w:rFonts w:hint="default" w:ascii="Times New Roman" w:hAnsi="Times New Roman" w:eastAsia="黑体" w:cs="黑体"/>
          <w:b w:val="0"/>
          <w:bCs w:val="0"/>
          <w:i w:val="0"/>
          <w:iCs w:val="0"/>
          <w:snapToGrid w:val="0"/>
          <w:color w:val="auto"/>
          <w:spacing w:val="5"/>
          <w:kern w:val="0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snapToGrid w:val="0"/>
          <w:color w:val="auto"/>
          <w:spacing w:val="5"/>
          <w:kern w:val="0"/>
          <w:sz w:val="32"/>
          <w:lang w:val="en-US" w:eastAsia="zh-CN"/>
        </w:rPr>
        <w:t>二、评审标准</w:t>
      </w:r>
    </w:p>
    <w:p w14:paraId="1D6429E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组委会邀请政策起草和制定人员、科技领域专家、媒体人士等组成评审团，根据作品的政策解读准确性、内容创新性、视频制作质量、传播效果预期等多个维度进行打分。具体评分标准如下：</w:t>
      </w:r>
    </w:p>
    <w:p w14:paraId="0CD65BC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政策解读准确性（40分）：对政策的理解深刻、准确，解读全面、无偏差，能够清晰阐述政策要点和适用范围。</w:t>
      </w:r>
    </w:p>
    <w:p w14:paraId="53412FC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内容创新性（30分）：采用新颖独特的方式进行政策解读，如独特的案例、创新的表现形式等，区别于传统的政策宣传方式，具有较强的吸引力。​</w:t>
      </w:r>
    </w:p>
    <w:p w14:paraId="7E3618B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视频制作质量（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en-US"/>
        </w:rPr>
        <w:t>0分）：视频画质清晰、声音清楚，剪辑流畅，画面构图合理，特效运用得当，整体制作精良。具有感染力和传播潜力，能够引起观众的兴趣和共鸣。</w:t>
      </w:r>
    </w:p>
    <w:p w14:paraId="5DD1F28C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-2147483648" w:beforeAutospacing="0" w:after="0" w:afterLines="-2147483648" w:afterAutospacing="0" w:line="600" w:lineRule="exact"/>
        <w:ind w:left="0" w:leftChars="0" w:right="0" w:rightChars="0" w:firstLine="660" w:firstLineChars="200"/>
        <w:jc w:val="left"/>
        <w:textAlignment w:val="baseline"/>
        <w:rPr>
          <w:rFonts w:hint="eastAsia" w:ascii="Times New Roman" w:hAnsi="Times New Roman" w:eastAsia="黑体" w:cs="黑体"/>
          <w:snapToGrid w:val="0"/>
          <w:color w:val="auto"/>
          <w:spacing w:val="5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color w:val="auto"/>
          <w:spacing w:val="5"/>
          <w:kern w:val="0"/>
          <w:sz w:val="32"/>
          <w:szCs w:val="32"/>
          <w:lang w:val="en-US" w:eastAsia="zh-CN"/>
        </w:rPr>
        <w:t>三、赛程设置</w:t>
      </w:r>
    </w:p>
    <w:p w14:paraId="388BC66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比赛将视情分阶段进行：第一阶段按照上述评审标准组织视频评审；视频评审结果排名靠前的作品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lang w:val="en-US" w:eastAsia="zh-CN"/>
        </w:rPr>
        <w:t>牵头负责人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进入现场答辩环节，由政策专家组成评审小组围绕宣贯的政策提出问题，根据选手现场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解答情况进行评分，作为最终排名依据。</w:t>
      </w:r>
    </w:p>
    <w:p w14:paraId="4F357954">
      <w:pPr>
        <w:rPr>
          <w:color w:val="auto"/>
        </w:rPr>
      </w:pPr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B1CC2"/>
    <w:rsid w:val="2A3B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ajorHAnsi" w:hAnsiTheme="majorHAnsi" w:cstheme="majorBidi"/>
      <w:color w:val="000000" w:themeColor="text1"/>
      <w:kern w:val="2"/>
      <w:sz w:val="28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spacing w:line="300" w:lineRule="auto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unhideWhenUsed/>
    <w:qFormat/>
    <w:uiPriority w:val="0"/>
    <w:pPr>
      <w:ind w:firstLine="420" w:firstLineChars="200"/>
    </w:pPr>
    <w:rPr>
      <w:rFonts w:ascii="Calibri" w:hAnsi="Calibri" w:cs="Times New Roman"/>
      <w:color w:val="auto"/>
      <w:sz w:val="21"/>
      <w:szCs w:val="22"/>
    </w:rPr>
  </w:style>
  <w:style w:type="paragraph" w:customStyle="1" w:styleId="9">
    <w:name w:val="附件标题"/>
    <w:basedOn w:val="3"/>
    <w:next w:val="1"/>
    <w:autoRedefine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2025-10-24T03:00:00Z</dcterms:created>
  <dc:creator>曉&amp;.球</dc:creator>
  <cp:lastModifiedBy>曉&amp;.球</cp:lastModifiedBy>
  <dcterms:modified xsi:type="dcterms:W3CDTF">2025-10-24T03:01:25Z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8539AA955F974F74BDA1FFEA71A282DC_11</vt:lpwstr>
  </property>
  <property fmtid="{D5CDD505-2E9C-101B-9397-08002B2CF9AE}" pid="4" name="KSOTemplateDocerSaveRecord">
    <vt:lpwstr>eyJoZGlkIjoiNzczZmI2MTFjZTQ2M2ZkOGFhMTMwMTE2NDdiZDM2NjMiLCJ1c2VySWQiOiIzMzExMTUzNTIifQ==</vt:lpwstr>
  </property>
</Properties>
</file>